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3C2D" w:rsidRPr="00A23C2D" w:rsidRDefault="00A23C2D" w:rsidP="00A23C2D">
      <w:pPr>
        <w:shd w:val="clear" w:color="auto" w:fill="FFFFFF"/>
        <w:spacing w:before="150"/>
        <w:textAlignment w:val="baseline"/>
        <w:outlineLvl w:val="1"/>
        <w:rPr>
          <w:rFonts w:ascii="Georgia" w:eastAsia="Times New Roman" w:hAnsi="Georgia" w:cs="Calibri"/>
          <w:color w:val="840009"/>
          <w:sz w:val="48"/>
          <w:szCs w:val="48"/>
        </w:rPr>
      </w:pPr>
      <w:r w:rsidRPr="00A23C2D">
        <w:rPr>
          <w:rFonts w:ascii="Georgia" w:eastAsia="Times New Roman" w:hAnsi="Georgia" w:cs="Calibri"/>
          <w:color w:val="840009"/>
          <w:sz w:val="48"/>
          <w:szCs w:val="48"/>
        </w:rPr>
        <w:br/>
        <w:t>Creating a 21st-Century General Education</w:t>
      </w:r>
    </w:p>
    <w:p w:rsidR="00A23C2D" w:rsidRPr="00A23C2D" w:rsidRDefault="00A23C2D" w:rsidP="00A23C2D">
      <w:pPr>
        <w:shd w:val="clear" w:color="auto" w:fill="FFFFFF"/>
        <w:textAlignment w:val="baseline"/>
        <w:outlineLvl w:val="2"/>
        <w:rPr>
          <w:rFonts w:ascii="Calibri" w:eastAsia="Times New Roman" w:hAnsi="Calibri" w:cs="Calibri"/>
          <w:b/>
          <w:bCs/>
          <w:color w:val="840009"/>
        </w:rPr>
      </w:pPr>
      <w:r w:rsidRPr="00A23C2D">
        <w:rPr>
          <w:rFonts w:ascii="Calibri" w:eastAsia="Times New Roman" w:hAnsi="Calibri" w:cs="Calibri"/>
          <w:b/>
          <w:bCs/>
          <w:color w:val="840009"/>
        </w:rPr>
        <w:t>Responding to Seismic Shifts</w:t>
      </w:r>
    </w:p>
    <w:p w:rsidR="00A23C2D" w:rsidRPr="00A23C2D" w:rsidRDefault="00A23C2D" w:rsidP="00A23C2D">
      <w:pPr>
        <w:shd w:val="clear" w:color="auto" w:fill="FFFFFF"/>
        <w:textAlignment w:val="baseline"/>
        <w:rPr>
          <w:rFonts w:ascii="inherit" w:eastAsia="Times New Roman" w:hAnsi="inherit" w:cs="Calibri"/>
          <w:color w:val="000000"/>
        </w:rPr>
      </w:pPr>
      <w:r w:rsidRPr="00A23C2D">
        <w:rPr>
          <w:rFonts w:ascii="inherit" w:eastAsia="Times New Roman" w:hAnsi="inherit" w:cs="Calibri"/>
          <w:color w:val="000000"/>
          <w:bdr w:val="none" w:sz="0" w:space="0" w:color="auto" w:frame="1"/>
        </w:rPr>
        <w:t>February 14, 2019 to February 16, 2019</w:t>
      </w:r>
    </w:p>
    <w:p w:rsidR="00A23C2D" w:rsidRPr="00A23C2D" w:rsidRDefault="00A23C2D" w:rsidP="00A23C2D">
      <w:pPr>
        <w:shd w:val="clear" w:color="auto" w:fill="FFFFFF"/>
        <w:textAlignment w:val="baseline"/>
        <w:rPr>
          <w:rFonts w:ascii="inherit" w:eastAsia="Times New Roman" w:hAnsi="inherit" w:cs="Calibri"/>
          <w:color w:val="000000"/>
        </w:rPr>
      </w:pPr>
      <w:r w:rsidRPr="00A23C2D">
        <w:rPr>
          <w:rFonts w:ascii="inherit" w:eastAsia="Times New Roman" w:hAnsi="inherit" w:cs="Calibri"/>
          <w:color w:val="000000"/>
        </w:rPr>
        <w:t>The Westin St. Francis</w:t>
      </w:r>
    </w:p>
    <w:p w:rsidR="00A23C2D" w:rsidRPr="00A23C2D" w:rsidRDefault="00A23C2D" w:rsidP="00A23C2D">
      <w:pPr>
        <w:shd w:val="clear" w:color="auto" w:fill="FFFFFF"/>
        <w:textAlignment w:val="baseline"/>
        <w:rPr>
          <w:rFonts w:ascii="inherit" w:eastAsia="Times New Roman" w:hAnsi="inherit" w:cs="Calibri"/>
          <w:color w:val="000000"/>
        </w:rPr>
      </w:pPr>
      <w:r w:rsidRPr="00A23C2D">
        <w:rPr>
          <w:rFonts w:ascii="inherit" w:eastAsia="Times New Roman" w:hAnsi="inherit" w:cs="Calibri"/>
          <w:color w:val="000000"/>
        </w:rPr>
        <w:t>335 Powell Street</w:t>
      </w:r>
    </w:p>
    <w:p w:rsidR="00A23C2D" w:rsidRPr="00A23C2D" w:rsidRDefault="00A23C2D" w:rsidP="00A23C2D">
      <w:pPr>
        <w:shd w:val="clear" w:color="auto" w:fill="FFFFFF"/>
        <w:textAlignment w:val="baseline"/>
        <w:rPr>
          <w:rFonts w:ascii="inherit" w:eastAsia="Times New Roman" w:hAnsi="inherit" w:cs="Calibri"/>
          <w:color w:val="000000"/>
        </w:rPr>
      </w:pPr>
      <w:r w:rsidRPr="00A23C2D">
        <w:rPr>
          <w:rFonts w:ascii="inherit" w:eastAsia="Times New Roman" w:hAnsi="inherit" w:cs="Calibri"/>
          <w:color w:val="000000"/>
          <w:bdr w:val="none" w:sz="0" w:space="0" w:color="auto" w:frame="1"/>
        </w:rPr>
        <w:t>San Francisco</w:t>
      </w:r>
      <w:r w:rsidRPr="00A23C2D">
        <w:rPr>
          <w:rFonts w:ascii="inherit" w:eastAsia="Times New Roman" w:hAnsi="inherit" w:cs="Calibri"/>
          <w:color w:val="000000"/>
        </w:rPr>
        <w:t>, </w:t>
      </w:r>
      <w:r w:rsidRPr="00A23C2D">
        <w:rPr>
          <w:rFonts w:ascii="inherit" w:eastAsia="Times New Roman" w:hAnsi="inherit" w:cs="Calibri"/>
          <w:color w:val="000000"/>
          <w:bdr w:val="none" w:sz="0" w:space="0" w:color="auto" w:frame="1"/>
        </w:rPr>
        <w:t>CA</w:t>
      </w:r>
      <w:r w:rsidRPr="00A23C2D">
        <w:rPr>
          <w:rFonts w:ascii="inherit" w:eastAsia="Times New Roman" w:hAnsi="inherit" w:cs="Calibri"/>
          <w:color w:val="000000"/>
        </w:rPr>
        <w:t> </w:t>
      </w:r>
      <w:r w:rsidRPr="00A23C2D">
        <w:rPr>
          <w:rFonts w:ascii="inherit" w:eastAsia="Times New Roman" w:hAnsi="inherit" w:cs="Calibri"/>
          <w:color w:val="000000"/>
          <w:bdr w:val="none" w:sz="0" w:space="0" w:color="auto" w:frame="1"/>
        </w:rPr>
        <w:t>94102</w:t>
      </w:r>
    </w:p>
    <w:p w:rsidR="00A23C2D" w:rsidRPr="00A23C2D" w:rsidRDefault="00A23C2D" w:rsidP="00A23C2D">
      <w:pPr>
        <w:shd w:val="clear" w:color="auto" w:fill="FFFFFF"/>
        <w:spacing w:after="240" w:line="300" w:lineRule="atLeast"/>
        <w:textAlignment w:val="baseline"/>
        <w:rPr>
          <w:rFonts w:ascii="Calibri" w:eastAsia="Times New Roman" w:hAnsi="Calibri" w:cs="Calibri"/>
          <w:color w:val="000000"/>
        </w:rPr>
      </w:pPr>
      <w:r w:rsidRPr="00A23C2D">
        <w:rPr>
          <w:rFonts w:ascii="Calibri" w:eastAsia="Times New Roman" w:hAnsi="Calibri" w:cs="Calibri"/>
          <w:color w:val="000000"/>
        </w:rPr>
        <w:t>There is an emerging—and necessary—revolution occurring within general education. This revolution is led not by higher education “disruptors” intent on breaking apart existing systems, but by innovators creating intentional, coherent, engaging, and integrated educational experiences. College and university faculty, cocurricular professionals, and other academic leaders are leveraging research on what facilitates and strengthens liberal learning for all students seeking the benefits of higher education. Their revolution is based on the recognition that twenty-first-century general education</w:t>
      </w:r>
    </w:p>
    <w:p w:rsidR="00A23C2D" w:rsidRPr="00A23C2D" w:rsidRDefault="00A23C2D" w:rsidP="00A23C2D">
      <w:pPr>
        <w:numPr>
          <w:ilvl w:val="0"/>
          <w:numId w:val="1"/>
        </w:numPr>
        <w:shd w:val="clear" w:color="auto" w:fill="FFFFFF"/>
        <w:spacing w:after="120"/>
        <w:ind w:left="1020" w:right="300"/>
        <w:textAlignment w:val="baseline"/>
        <w:rPr>
          <w:rFonts w:ascii="inherit" w:eastAsia="Times New Roman" w:hAnsi="inherit" w:cs="Calibri"/>
          <w:color w:val="000000"/>
        </w:rPr>
      </w:pPr>
      <w:r w:rsidRPr="00A23C2D">
        <w:rPr>
          <w:rFonts w:ascii="inherit" w:eastAsia="Times New Roman" w:hAnsi="inherit" w:cs="Calibri"/>
          <w:color w:val="000000"/>
        </w:rPr>
        <w:t>must be a central mechanism for integrating knowledge and developing higher-order learning skills and abilities rather than a set of unconnected introductory courses;</w:t>
      </w:r>
    </w:p>
    <w:p w:rsidR="00A23C2D" w:rsidRPr="00A23C2D" w:rsidRDefault="00A23C2D" w:rsidP="00A23C2D">
      <w:pPr>
        <w:numPr>
          <w:ilvl w:val="0"/>
          <w:numId w:val="1"/>
        </w:numPr>
        <w:shd w:val="clear" w:color="auto" w:fill="FFFFFF"/>
        <w:spacing w:after="120"/>
        <w:ind w:left="1020" w:right="300"/>
        <w:textAlignment w:val="baseline"/>
        <w:rPr>
          <w:rFonts w:ascii="inherit" w:eastAsia="Times New Roman" w:hAnsi="inherit" w:cs="Calibri"/>
          <w:color w:val="000000"/>
        </w:rPr>
      </w:pPr>
      <w:r w:rsidRPr="00A23C2D">
        <w:rPr>
          <w:rFonts w:ascii="inherit" w:eastAsia="Times New Roman" w:hAnsi="inherit" w:cs="Calibri"/>
          <w:color w:val="000000"/>
        </w:rPr>
        <w:t>must connect with the learning goals of the major, the work of student affairs, and the goal of preparing students for lifelong learning;</w:t>
      </w:r>
    </w:p>
    <w:p w:rsidR="00A23C2D" w:rsidRPr="00A23C2D" w:rsidRDefault="00A23C2D" w:rsidP="00A23C2D">
      <w:pPr>
        <w:numPr>
          <w:ilvl w:val="0"/>
          <w:numId w:val="1"/>
        </w:numPr>
        <w:shd w:val="clear" w:color="auto" w:fill="FFFFFF"/>
        <w:spacing w:after="120"/>
        <w:ind w:left="1020" w:right="300"/>
        <w:textAlignment w:val="baseline"/>
        <w:rPr>
          <w:rFonts w:ascii="inherit" w:eastAsia="Times New Roman" w:hAnsi="inherit" w:cs="Calibri"/>
          <w:color w:val="000000"/>
        </w:rPr>
      </w:pPr>
      <w:r w:rsidRPr="00A23C2D">
        <w:rPr>
          <w:rFonts w:ascii="inherit" w:eastAsia="Times New Roman" w:hAnsi="inherit" w:cs="Calibri"/>
          <w:color w:val="000000"/>
        </w:rPr>
        <w:t>is the foundation for equity in preparing current and future civically engaged graduates;</w:t>
      </w:r>
    </w:p>
    <w:p w:rsidR="00A23C2D" w:rsidRPr="00A23C2D" w:rsidRDefault="00A23C2D" w:rsidP="00A23C2D">
      <w:pPr>
        <w:numPr>
          <w:ilvl w:val="0"/>
          <w:numId w:val="1"/>
        </w:numPr>
        <w:shd w:val="clear" w:color="auto" w:fill="FFFFFF"/>
        <w:spacing w:after="120"/>
        <w:ind w:left="1020" w:right="300"/>
        <w:textAlignment w:val="baseline"/>
        <w:rPr>
          <w:rFonts w:ascii="inherit" w:eastAsia="Times New Roman" w:hAnsi="inherit" w:cs="Calibri"/>
          <w:color w:val="000000"/>
        </w:rPr>
      </w:pPr>
      <w:r w:rsidRPr="00A23C2D">
        <w:rPr>
          <w:rFonts w:ascii="inherit" w:eastAsia="Times New Roman" w:hAnsi="inherit" w:cs="Calibri"/>
          <w:color w:val="000000"/>
        </w:rPr>
        <w:t>is a potentially powerful tool for retention and completion; and</w:t>
      </w:r>
    </w:p>
    <w:p w:rsidR="00A23C2D" w:rsidRPr="00A23C2D" w:rsidRDefault="00A23C2D" w:rsidP="00A23C2D">
      <w:pPr>
        <w:numPr>
          <w:ilvl w:val="0"/>
          <w:numId w:val="1"/>
        </w:numPr>
        <w:shd w:val="clear" w:color="auto" w:fill="FFFFFF"/>
        <w:spacing w:after="120"/>
        <w:ind w:left="1020" w:right="300"/>
        <w:textAlignment w:val="baseline"/>
        <w:rPr>
          <w:rFonts w:ascii="inherit" w:eastAsia="Times New Roman" w:hAnsi="inherit" w:cs="Calibri"/>
          <w:color w:val="000000"/>
        </w:rPr>
      </w:pPr>
      <w:r w:rsidRPr="00A23C2D">
        <w:rPr>
          <w:rFonts w:ascii="inherit" w:eastAsia="Times New Roman" w:hAnsi="inherit" w:cs="Calibri"/>
          <w:color w:val="000000"/>
        </w:rPr>
        <w:t>provides valuable and enduring professional development for the current and future workforce.</w:t>
      </w:r>
    </w:p>
    <w:p w:rsidR="00A23C2D" w:rsidRPr="00A23C2D" w:rsidRDefault="00A23C2D" w:rsidP="00A23C2D">
      <w:pPr>
        <w:shd w:val="clear" w:color="auto" w:fill="FFFFFF"/>
        <w:spacing w:after="240" w:line="300" w:lineRule="atLeast"/>
        <w:textAlignment w:val="baseline"/>
        <w:rPr>
          <w:rFonts w:ascii="Calibri" w:eastAsia="Times New Roman" w:hAnsi="Calibri" w:cs="Calibri"/>
          <w:color w:val="000000"/>
        </w:rPr>
      </w:pPr>
      <w:r w:rsidRPr="00A23C2D">
        <w:rPr>
          <w:rFonts w:ascii="Calibri" w:eastAsia="Times New Roman" w:hAnsi="Calibri" w:cs="Calibri"/>
          <w:color w:val="000000"/>
        </w:rPr>
        <w:t>In the context of urgent social challenges such as growing economic and demographic segregation and a breakdown of public trust in higher education at large, general education must prepare students to</w:t>
      </w:r>
    </w:p>
    <w:p w:rsidR="00A23C2D" w:rsidRPr="00A23C2D" w:rsidRDefault="00A23C2D" w:rsidP="00A23C2D">
      <w:pPr>
        <w:numPr>
          <w:ilvl w:val="0"/>
          <w:numId w:val="2"/>
        </w:numPr>
        <w:shd w:val="clear" w:color="auto" w:fill="FFFFFF"/>
        <w:spacing w:after="120"/>
        <w:ind w:left="1020" w:right="300"/>
        <w:textAlignment w:val="baseline"/>
        <w:rPr>
          <w:rFonts w:ascii="inherit" w:eastAsia="Times New Roman" w:hAnsi="inherit" w:cs="Calibri"/>
          <w:color w:val="000000"/>
        </w:rPr>
      </w:pPr>
      <w:r w:rsidRPr="00A23C2D">
        <w:rPr>
          <w:rFonts w:ascii="inherit" w:eastAsia="Times New Roman" w:hAnsi="inherit" w:cs="Calibri"/>
          <w:color w:val="000000"/>
        </w:rPr>
        <w:t>create meaning and sense in the face of the active denigration of reason, evidence, and facts;</w:t>
      </w:r>
    </w:p>
    <w:p w:rsidR="00A23C2D" w:rsidRPr="00A23C2D" w:rsidRDefault="00A23C2D" w:rsidP="00A23C2D">
      <w:pPr>
        <w:numPr>
          <w:ilvl w:val="0"/>
          <w:numId w:val="2"/>
        </w:numPr>
        <w:shd w:val="clear" w:color="auto" w:fill="FFFFFF"/>
        <w:spacing w:after="120"/>
        <w:ind w:left="1020" w:right="300"/>
        <w:textAlignment w:val="baseline"/>
        <w:rPr>
          <w:rFonts w:ascii="inherit" w:eastAsia="Times New Roman" w:hAnsi="inherit" w:cs="Calibri"/>
          <w:color w:val="000000"/>
        </w:rPr>
      </w:pPr>
      <w:r w:rsidRPr="00A23C2D">
        <w:rPr>
          <w:rFonts w:ascii="inherit" w:eastAsia="Times New Roman" w:hAnsi="inherit" w:cs="Calibri"/>
          <w:color w:val="000000"/>
        </w:rPr>
        <w:t>use critical thought, reflection, and considered judgment to countervail a culture defined by snap decisions, distrust, and division;</w:t>
      </w:r>
    </w:p>
    <w:p w:rsidR="00A23C2D" w:rsidRPr="00A23C2D" w:rsidRDefault="00A23C2D" w:rsidP="00A23C2D">
      <w:pPr>
        <w:numPr>
          <w:ilvl w:val="0"/>
          <w:numId w:val="2"/>
        </w:numPr>
        <w:shd w:val="clear" w:color="auto" w:fill="FFFFFF"/>
        <w:spacing w:after="120"/>
        <w:ind w:left="1020" w:right="300"/>
        <w:textAlignment w:val="baseline"/>
        <w:rPr>
          <w:rFonts w:ascii="inherit" w:eastAsia="Times New Roman" w:hAnsi="inherit" w:cs="Calibri"/>
          <w:color w:val="000000"/>
        </w:rPr>
      </w:pPr>
      <w:r w:rsidRPr="00A23C2D">
        <w:rPr>
          <w:rFonts w:ascii="inherit" w:eastAsia="Times New Roman" w:hAnsi="inherit" w:cs="Calibri"/>
          <w:color w:val="000000"/>
        </w:rPr>
        <w:t>value difference and diverse viewpoints as the cornerstone of a thriving democracy.</w:t>
      </w:r>
    </w:p>
    <w:p w:rsidR="00A23C2D" w:rsidRPr="00A23C2D" w:rsidRDefault="00A23C2D" w:rsidP="00A23C2D">
      <w:pPr>
        <w:shd w:val="clear" w:color="auto" w:fill="FFFFFF"/>
        <w:spacing w:after="240" w:line="300" w:lineRule="atLeast"/>
        <w:textAlignment w:val="baseline"/>
        <w:rPr>
          <w:rFonts w:ascii="Calibri" w:eastAsia="Times New Roman" w:hAnsi="Calibri" w:cs="Calibri"/>
          <w:color w:val="000000"/>
        </w:rPr>
      </w:pPr>
      <w:r w:rsidRPr="00A23C2D">
        <w:rPr>
          <w:rFonts w:ascii="Calibri" w:eastAsia="Times New Roman" w:hAnsi="Calibri" w:cs="Calibri"/>
          <w:color w:val="000000"/>
        </w:rPr>
        <w:t xml:space="preserve">AAC&amp;U’s 2019 Network for Academic Renewal conference on General Education and Assessment invites colleagues from all areas of the higher education landscape to join us in sharing efforts to create intentional and integrated programs, to assess our current practices, </w:t>
      </w:r>
      <w:r w:rsidRPr="00A23C2D">
        <w:rPr>
          <w:rFonts w:ascii="Calibri" w:eastAsia="Times New Roman" w:hAnsi="Calibri" w:cs="Calibri"/>
          <w:color w:val="000000"/>
        </w:rPr>
        <w:lastRenderedPageBreak/>
        <w:t>and to generate evidence of high-quality learning within our educational experiences for all students.</w:t>
      </w:r>
    </w:p>
    <w:p w:rsidR="00A23C2D" w:rsidRPr="00A23C2D" w:rsidRDefault="00A23C2D" w:rsidP="00A23C2D">
      <w:pPr>
        <w:shd w:val="clear" w:color="auto" w:fill="FFFFFF"/>
        <w:spacing w:line="300" w:lineRule="atLeast"/>
        <w:textAlignment w:val="baseline"/>
        <w:rPr>
          <w:rFonts w:ascii="Calibri" w:eastAsia="Times New Roman" w:hAnsi="Calibri" w:cs="Calibri"/>
          <w:color w:val="000000"/>
        </w:rPr>
      </w:pPr>
      <w:r w:rsidRPr="00A23C2D">
        <w:rPr>
          <w:rFonts w:ascii="inherit" w:eastAsia="Times New Roman" w:hAnsi="inherit" w:cs="Calibri"/>
          <w:b/>
          <w:bCs/>
          <w:color w:val="000000"/>
          <w:bdr w:val="none" w:sz="0" w:space="0" w:color="auto" w:frame="1"/>
        </w:rPr>
        <w:t>Dialogues for Learning</w:t>
      </w:r>
    </w:p>
    <w:p w:rsidR="00A23C2D" w:rsidRPr="00A23C2D" w:rsidRDefault="00A23C2D" w:rsidP="00A23C2D">
      <w:pPr>
        <w:shd w:val="clear" w:color="auto" w:fill="FFFFFF"/>
        <w:spacing w:after="240" w:line="300" w:lineRule="atLeast"/>
        <w:textAlignment w:val="baseline"/>
        <w:rPr>
          <w:rFonts w:ascii="Calibri" w:eastAsia="Times New Roman" w:hAnsi="Calibri" w:cs="Calibri"/>
          <w:color w:val="000000"/>
        </w:rPr>
      </w:pPr>
      <w:r w:rsidRPr="00A23C2D">
        <w:rPr>
          <w:rFonts w:ascii="Calibri" w:eastAsia="Times New Roman" w:hAnsi="Calibri" w:cs="Calibri"/>
          <w:color w:val="000000"/>
        </w:rPr>
        <w:t>Throughout the conference, participants will have opportunities to engage with colleagues through a set of dialogues on what a twenty-first-century general education needs to offer. These dialogues may address the following questions:</w:t>
      </w:r>
    </w:p>
    <w:p w:rsidR="00A23C2D" w:rsidRPr="00A23C2D" w:rsidRDefault="00A23C2D" w:rsidP="00A23C2D">
      <w:pPr>
        <w:numPr>
          <w:ilvl w:val="0"/>
          <w:numId w:val="3"/>
        </w:numPr>
        <w:shd w:val="clear" w:color="auto" w:fill="FFFFFF"/>
        <w:spacing w:after="120"/>
        <w:ind w:left="1020" w:right="300"/>
        <w:textAlignment w:val="baseline"/>
        <w:rPr>
          <w:rFonts w:ascii="inherit" w:eastAsia="Times New Roman" w:hAnsi="inherit" w:cs="Calibri"/>
          <w:color w:val="000000"/>
        </w:rPr>
      </w:pPr>
      <w:r w:rsidRPr="00A23C2D">
        <w:rPr>
          <w:rFonts w:ascii="inherit" w:eastAsia="Times New Roman" w:hAnsi="inherit" w:cs="Calibri"/>
          <w:color w:val="000000"/>
        </w:rPr>
        <w:t>How can we organize general education to result in student integration of learning across content areas?</w:t>
      </w:r>
    </w:p>
    <w:p w:rsidR="00A23C2D" w:rsidRPr="00A23C2D" w:rsidRDefault="00A23C2D" w:rsidP="00A23C2D">
      <w:pPr>
        <w:numPr>
          <w:ilvl w:val="0"/>
          <w:numId w:val="3"/>
        </w:numPr>
        <w:shd w:val="clear" w:color="auto" w:fill="FFFFFF"/>
        <w:spacing w:after="120"/>
        <w:ind w:left="1020" w:right="300"/>
        <w:textAlignment w:val="baseline"/>
        <w:rPr>
          <w:rFonts w:ascii="inherit" w:eastAsia="Times New Roman" w:hAnsi="inherit" w:cs="Calibri"/>
          <w:color w:val="000000"/>
        </w:rPr>
      </w:pPr>
      <w:r w:rsidRPr="00A23C2D">
        <w:rPr>
          <w:rFonts w:ascii="inherit" w:eastAsia="Times New Roman" w:hAnsi="inherit" w:cs="Calibri"/>
          <w:color w:val="000000"/>
        </w:rPr>
        <w:t>How can general education designs improve students’ ways of knowing?</w:t>
      </w:r>
    </w:p>
    <w:p w:rsidR="00A23C2D" w:rsidRPr="00A23C2D" w:rsidRDefault="00A23C2D" w:rsidP="00A23C2D">
      <w:pPr>
        <w:numPr>
          <w:ilvl w:val="0"/>
          <w:numId w:val="3"/>
        </w:numPr>
        <w:shd w:val="clear" w:color="auto" w:fill="FFFFFF"/>
        <w:spacing w:after="120"/>
        <w:ind w:left="1020" w:right="300"/>
        <w:textAlignment w:val="baseline"/>
        <w:rPr>
          <w:rFonts w:ascii="inherit" w:eastAsia="Times New Roman" w:hAnsi="inherit" w:cs="Calibri"/>
          <w:color w:val="000000"/>
        </w:rPr>
      </w:pPr>
      <w:r w:rsidRPr="00A23C2D">
        <w:rPr>
          <w:rFonts w:ascii="inherit" w:eastAsia="Times New Roman" w:hAnsi="inherit" w:cs="Calibri"/>
          <w:color w:val="000000"/>
        </w:rPr>
        <w:t>How do we make siloed organizational structures coherent and purposeful?</w:t>
      </w:r>
    </w:p>
    <w:p w:rsidR="00A23C2D" w:rsidRPr="00A23C2D" w:rsidRDefault="00A23C2D" w:rsidP="00A23C2D">
      <w:pPr>
        <w:numPr>
          <w:ilvl w:val="0"/>
          <w:numId w:val="3"/>
        </w:numPr>
        <w:shd w:val="clear" w:color="auto" w:fill="FFFFFF"/>
        <w:spacing w:after="120"/>
        <w:ind w:left="1020" w:right="300"/>
        <w:textAlignment w:val="baseline"/>
        <w:rPr>
          <w:rFonts w:ascii="inherit" w:eastAsia="Times New Roman" w:hAnsi="inherit" w:cs="Calibri"/>
          <w:color w:val="000000"/>
        </w:rPr>
      </w:pPr>
      <w:r w:rsidRPr="00A23C2D">
        <w:rPr>
          <w:rFonts w:ascii="inherit" w:eastAsia="Times New Roman" w:hAnsi="inherit" w:cs="Calibri"/>
          <w:color w:val="000000"/>
        </w:rPr>
        <w:t>How can general education be a sense-making and meaning-making experience for students?</w:t>
      </w:r>
    </w:p>
    <w:p w:rsidR="00A23C2D" w:rsidRPr="00A23C2D" w:rsidRDefault="00A23C2D" w:rsidP="00A23C2D">
      <w:pPr>
        <w:numPr>
          <w:ilvl w:val="0"/>
          <w:numId w:val="3"/>
        </w:numPr>
        <w:shd w:val="clear" w:color="auto" w:fill="FFFFFF"/>
        <w:spacing w:after="120"/>
        <w:ind w:left="1020" w:right="300"/>
        <w:textAlignment w:val="baseline"/>
        <w:rPr>
          <w:rFonts w:ascii="inherit" w:eastAsia="Times New Roman" w:hAnsi="inherit" w:cs="Calibri"/>
          <w:color w:val="000000"/>
        </w:rPr>
      </w:pPr>
      <w:r w:rsidRPr="00A23C2D">
        <w:rPr>
          <w:rFonts w:ascii="inherit" w:eastAsia="Times New Roman" w:hAnsi="inherit" w:cs="Calibri"/>
          <w:color w:val="000000"/>
        </w:rPr>
        <w:t>How do we critically examine and reshape academic structures and systems that were created for a different time and place?</w:t>
      </w:r>
    </w:p>
    <w:p w:rsidR="00A23C2D" w:rsidRPr="00A23C2D" w:rsidRDefault="00A23C2D" w:rsidP="00A23C2D">
      <w:pPr>
        <w:numPr>
          <w:ilvl w:val="0"/>
          <w:numId w:val="3"/>
        </w:numPr>
        <w:shd w:val="clear" w:color="auto" w:fill="FFFFFF"/>
        <w:spacing w:after="120"/>
        <w:ind w:left="1020" w:right="300"/>
        <w:textAlignment w:val="baseline"/>
        <w:rPr>
          <w:rFonts w:ascii="inherit" w:eastAsia="Times New Roman" w:hAnsi="inherit" w:cs="Calibri"/>
          <w:color w:val="000000"/>
        </w:rPr>
      </w:pPr>
      <w:r w:rsidRPr="00A23C2D">
        <w:rPr>
          <w:rFonts w:ascii="inherit" w:eastAsia="Times New Roman" w:hAnsi="inherit" w:cs="Calibri"/>
          <w:color w:val="000000"/>
        </w:rPr>
        <w:t>How can we make assessment processes and results matter for students and faculty?</w:t>
      </w:r>
    </w:p>
    <w:p w:rsidR="00A23C2D" w:rsidRPr="00A23C2D" w:rsidRDefault="00A23C2D" w:rsidP="00A23C2D">
      <w:pPr>
        <w:numPr>
          <w:ilvl w:val="0"/>
          <w:numId w:val="3"/>
        </w:numPr>
        <w:shd w:val="clear" w:color="auto" w:fill="FFFFFF"/>
        <w:spacing w:after="120"/>
        <w:ind w:left="1020" w:right="300"/>
        <w:textAlignment w:val="baseline"/>
        <w:rPr>
          <w:rFonts w:ascii="inherit" w:eastAsia="Times New Roman" w:hAnsi="inherit" w:cs="Calibri"/>
          <w:color w:val="000000"/>
        </w:rPr>
      </w:pPr>
      <w:r w:rsidRPr="00A23C2D">
        <w:rPr>
          <w:rFonts w:ascii="inherit" w:eastAsia="Times New Roman" w:hAnsi="inherit" w:cs="Calibri"/>
          <w:color w:val="000000"/>
        </w:rPr>
        <w:t>What if the critics are correct, and much of how we assess is wrong?</w:t>
      </w:r>
    </w:p>
    <w:p w:rsidR="00A23C2D" w:rsidRPr="00A23C2D" w:rsidRDefault="00A23C2D" w:rsidP="00A23C2D">
      <w:pPr>
        <w:shd w:val="clear" w:color="auto" w:fill="FFFFFF"/>
        <w:spacing w:after="240" w:line="300" w:lineRule="atLeast"/>
        <w:textAlignment w:val="baseline"/>
        <w:rPr>
          <w:rFonts w:ascii="Calibri" w:eastAsia="Times New Roman" w:hAnsi="Calibri" w:cs="Calibri"/>
          <w:color w:val="000000"/>
        </w:rPr>
      </w:pPr>
      <w:r w:rsidRPr="00A23C2D">
        <w:rPr>
          <w:rFonts w:ascii="Calibri" w:eastAsia="Times New Roman" w:hAnsi="Calibri" w:cs="Calibri"/>
          <w:color w:val="000000"/>
        </w:rPr>
        <w:t>An opening plenary will frame the dialogue by encouraging participants to consider these questions and inviting attendees to define additional queries. Concurrent and poster sessions will provide examples of how participants are implementing, assessing, and/or revising different attempts to address these topics. On the final day, participants will reflect on the questions, consider what they have learned from sessions, and share what they see as the path forward to a twenty-first-century general education. </w:t>
      </w:r>
    </w:p>
    <w:p w:rsidR="00A23C2D" w:rsidRPr="00A23C2D" w:rsidRDefault="00A23C2D" w:rsidP="00A23C2D">
      <w:pPr>
        <w:shd w:val="clear" w:color="auto" w:fill="FFFFFF"/>
        <w:spacing w:after="240" w:line="300" w:lineRule="atLeast"/>
        <w:textAlignment w:val="baseline"/>
        <w:rPr>
          <w:rFonts w:ascii="Calibri" w:eastAsia="Times New Roman" w:hAnsi="Calibri" w:cs="Calibri"/>
          <w:color w:val="000000"/>
        </w:rPr>
      </w:pPr>
      <w:r w:rsidRPr="00A23C2D">
        <w:rPr>
          <w:rFonts w:ascii="Calibri" w:eastAsia="Times New Roman" w:hAnsi="Calibri" w:cs="Calibri"/>
          <w:color w:val="000000"/>
        </w:rPr>
        <w:t>Conference participants will examine promising examples and emerging change strategies to seed idea exchanges and networks that will help expand and support efforts to understand what works, for whom, how, and why. </w:t>
      </w:r>
    </w:p>
    <w:p w:rsidR="00B7596A" w:rsidRDefault="00A23C2D">
      <w:hyperlink r:id="rId5" w:history="1">
        <w:r w:rsidRPr="00A23C2D">
          <w:rPr>
            <w:rStyle w:val="Hyperlink"/>
          </w:rPr>
          <w:t>https://www.aacu.org/conferences/gened/19</w:t>
        </w:r>
      </w:hyperlink>
    </w:p>
    <w:sectPr w:rsidR="00B7596A" w:rsidSect="00FA0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35FD0"/>
    <w:multiLevelType w:val="multilevel"/>
    <w:tmpl w:val="CF8E0B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12D500D"/>
    <w:multiLevelType w:val="multilevel"/>
    <w:tmpl w:val="6C08CA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852128B"/>
    <w:multiLevelType w:val="multilevel"/>
    <w:tmpl w:val="202A3D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lvlOverride w:ilvl="0">
      <w:lvl w:ilvl="0">
        <w:numFmt w:val="bullet"/>
        <w:lvlText w:val=""/>
        <w:lvlJc w:val="left"/>
        <w:pPr>
          <w:tabs>
            <w:tab w:val="num" w:pos="720"/>
          </w:tabs>
          <w:ind w:left="720" w:hanging="360"/>
        </w:pPr>
        <w:rPr>
          <w:rFonts w:ascii="Symbol" w:hAnsi="Symbol" w:hint="default"/>
          <w:sz w:val="20"/>
        </w:rPr>
      </w:lvl>
    </w:lvlOverride>
  </w:num>
  <w:num w:numId="2">
    <w:abstractNumId w:val="1"/>
    <w:lvlOverride w:ilvl="0">
      <w:lvl w:ilvl="0">
        <w:numFmt w:val="bullet"/>
        <w:lvlText w:val=""/>
        <w:lvlJc w:val="left"/>
        <w:pPr>
          <w:tabs>
            <w:tab w:val="num" w:pos="720"/>
          </w:tabs>
          <w:ind w:left="720" w:hanging="360"/>
        </w:pPr>
        <w:rPr>
          <w:rFonts w:ascii="Symbol" w:hAnsi="Symbol" w:hint="default"/>
          <w:sz w:val="20"/>
        </w:rPr>
      </w:lvl>
    </w:lvlOverride>
  </w:num>
  <w:num w:numId="3">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2D"/>
    <w:rsid w:val="009A6859"/>
    <w:rsid w:val="00A23C2D"/>
    <w:rsid w:val="00FA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BA62FE"/>
  <w14:defaultImageDpi w14:val="32767"/>
  <w15:chartTrackingRefBased/>
  <w15:docId w15:val="{3371D095-C400-4548-98DF-6A537919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23C2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23C2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C2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23C2D"/>
    <w:rPr>
      <w:rFonts w:ascii="Times New Roman" w:eastAsia="Times New Roman" w:hAnsi="Times New Roman" w:cs="Times New Roman"/>
      <w:b/>
      <w:bCs/>
      <w:sz w:val="27"/>
      <w:szCs w:val="27"/>
    </w:rPr>
  </w:style>
  <w:style w:type="character" w:customStyle="1" w:styleId="date-display-range">
    <w:name w:val="date-display-range"/>
    <w:basedOn w:val="DefaultParagraphFont"/>
    <w:rsid w:val="00A23C2D"/>
  </w:style>
  <w:style w:type="character" w:customStyle="1" w:styleId="date-display-start">
    <w:name w:val="date-display-start"/>
    <w:basedOn w:val="DefaultParagraphFont"/>
    <w:rsid w:val="00A23C2D"/>
  </w:style>
  <w:style w:type="character" w:customStyle="1" w:styleId="date-display-end">
    <w:name w:val="date-display-end"/>
    <w:basedOn w:val="DefaultParagraphFont"/>
    <w:rsid w:val="00A23C2D"/>
  </w:style>
  <w:style w:type="character" w:customStyle="1" w:styleId="locality">
    <w:name w:val="locality"/>
    <w:basedOn w:val="DefaultParagraphFont"/>
    <w:rsid w:val="00A23C2D"/>
  </w:style>
  <w:style w:type="character" w:customStyle="1" w:styleId="state">
    <w:name w:val="state"/>
    <w:basedOn w:val="DefaultParagraphFont"/>
    <w:rsid w:val="00A23C2D"/>
  </w:style>
  <w:style w:type="character" w:customStyle="1" w:styleId="postal-code">
    <w:name w:val="postal-code"/>
    <w:basedOn w:val="DefaultParagraphFont"/>
    <w:rsid w:val="00A23C2D"/>
  </w:style>
  <w:style w:type="paragraph" w:styleId="NormalWeb">
    <w:name w:val="Normal (Web)"/>
    <w:basedOn w:val="Normal"/>
    <w:uiPriority w:val="99"/>
    <w:semiHidden/>
    <w:unhideWhenUsed/>
    <w:rsid w:val="00A23C2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23C2D"/>
    <w:rPr>
      <w:b/>
      <w:bCs/>
    </w:rPr>
  </w:style>
  <w:style w:type="character" w:styleId="Hyperlink">
    <w:name w:val="Hyperlink"/>
    <w:basedOn w:val="DefaultParagraphFont"/>
    <w:uiPriority w:val="99"/>
    <w:unhideWhenUsed/>
    <w:rsid w:val="00A23C2D"/>
    <w:rPr>
      <w:color w:val="0563C1" w:themeColor="hyperlink"/>
      <w:u w:val="single"/>
    </w:rPr>
  </w:style>
  <w:style w:type="character" w:styleId="UnresolvedMention">
    <w:name w:val="Unresolved Mention"/>
    <w:basedOn w:val="DefaultParagraphFont"/>
    <w:uiPriority w:val="99"/>
    <w:rsid w:val="00A23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822895">
      <w:bodyDiv w:val="1"/>
      <w:marLeft w:val="0"/>
      <w:marRight w:val="0"/>
      <w:marTop w:val="0"/>
      <w:marBottom w:val="0"/>
      <w:divBdr>
        <w:top w:val="none" w:sz="0" w:space="0" w:color="auto"/>
        <w:left w:val="none" w:sz="0" w:space="0" w:color="auto"/>
        <w:bottom w:val="none" w:sz="0" w:space="0" w:color="auto"/>
        <w:right w:val="none" w:sz="0" w:space="0" w:color="auto"/>
      </w:divBdr>
      <w:divsChild>
        <w:div w:id="1784957670">
          <w:marLeft w:val="0"/>
          <w:marRight w:val="0"/>
          <w:marTop w:val="0"/>
          <w:marBottom w:val="0"/>
          <w:divBdr>
            <w:top w:val="none" w:sz="0" w:space="0" w:color="auto"/>
            <w:left w:val="none" w:sz="0" w:space="0" w:color="auto"/>
            <w:bottom w:val="none" w:sz="0" w:space="0" w:color="auto"/>
            <w:right w:val="none" w:sz="0" w:space="0" w:color="auto"/>
          </w:divBdr>
          <w:divsChild>
            <w:div w:id="985012929">
              <w:marLeft w:val="0"/>
              <w:marRight w:val="0"/>
              <w:marTop w:val="0"/>
              <w:marBottom w:val="0"/>
              <w:divBdr>
                <w:top w:val="none" w:sz="0" w:space="0" w:color="auto"/>
                <w:left w:val="none" w:sz="0" w:space="0" w:color="auto"/>
                <w:bottom w:val="none" w:sz="0" w:space="0" w:color="auto"/>
                <w:right w:val="none" w:sz="0" w:space="0" w:color="auto"/>
              </w:divBdr>
              <w:divsChild>
                <w:div w:id="14271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8173">
          <w:marLeft w:val="0"/>
          <w:marRight w:val="0"/>
          <w:marTop w:val="0"/>
          <w:marBottom w:val="0"/>
          <w:divBdr>
            <w:top w:val="none" w:sz="0" w:space="0" w:color="auto"/>
            <w:left w:val="none" w:sz="0" w:space="0" w:color="auto"/>
            <w:bottom w:val="none" w:sz="0" w:space="0" w:color="auto"/>
            <w:right w:val="none" w:sz="0" w:space="0" w:color="auto"/>
          </w:divBdr>
          <w:divsChild>
            <w:div w:id="1149206155">
              <w:marLeft w:val="0"/>
              <w:marRight w:val="0"/>
              <w:marTop w:val="0"/>
              <w:marBottom w:val="0"/>
              <w:divBdr>
                <w:top w:val="none" w:sz="0" w:space="0" w:color="auto"/>
                <w:left w:val="none" w:sz="0" w:space="0" w:color="auto"/>
                <w:bottom w:val="none" w:sz="0" w:space="0" w:color="auto"/>
                <w:right w:val="none" w:sz="0" w:space="0" w:color="auto"/>
              </w:divBdr>
              <w:divsChild>
                <w:div w:id="19396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13962">
          <w:marLeft w:val="0"/>
          <w:marRight w:val="0"/>
          <w:marTop w:val="0"/>
          <w:marBottom w:val="0"/>
          <w:divBdr>
            <w:top w:val="none" w:sz="0" w:space="0" w:color="auto"/>
            <w:left w:val="none" w:sz="0" w:space="0" w:color="auto"/>
            <w:bottom w:val="none" w:sz="0" w:space="0" w:color="auto"/>
            <w:right w:val="none" w:sz="0" w:space="0" w:color="auto"/>
          </w:divBdr>
          <w:divsChild>
            <w:div w:id="783888863">
              <w:marLeft w:val="0"/>
              <w:marRight w:val="0"/>
              <w:marTop w:val="0"/>
              <w:marBottom w:val="0"/>
              <w:divBdr>
                <w:top w:val="none" w:sz="0" w:space="0" w:color="auto"/>
                <w:left w:val="none" w:sz="0" w:space="0" w:color="auto"/>
                <w:bottom w:val="none" w:sz="0" w:space="0" w:color="auto"/>
                <w:right w:val="none" w:sz="0" w:space="0" w:color="auto"/>
              </w:divBdr>
              <w:divsChild>
                <w:div w:id="5925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7124">
          <w:marLeft w:val="0"/>
          <w:marRight w:val="0"/>
          <w:marTop w:val="0"/>
          <w:marBottom w:val="240"/>
          <w:divBdr>
            <w:top w:val="none" w:sz="0" w:space="0" w:color="auto"/>
            <w:left w:val="none" w:sz="0" w:space="0" w:color="auto"/>
            <w:bottom w:val="none" w:sz="0" w:space="0" w:color="auto"/>
            <w:right w:val="none" w:sz="0" w:space="0" w:color="auto"/>
          </w:divBdr>
          <w:divsChild>
            <w:div w:id="1580484084">
              <w:marLeft w:val="0"/>
              <w:marRight w:val="0"/>
              <w:marTop w:val="0"/>
              <w:marBottom w:val="0"/>
              <w:divBdr>
                <w:top w:val="none" w:sz="0" w:space="0" w:color="auto"/>
                <w:left w:val="none" w:sz="0" w:space="0" w:color="auto"/>
                <w:bottom w:val="none" w:sz="0" w:space="0" w:color="auto"/>
                <w:right w:val="none" w:sz="0" w:space="0" w:color="auto"/>
              </w:divBdr>
              <w:divsChild>
                <w:div w:id="26565170">
                  <w:marLeft w:val="0"/>
                  <w:marRight w:val="0"/>
                  <w:marTop w:val="0"/>
                  <w:marBottom w:val="0"/>
                  <w:divBdr>
                    <w:top w:val="none" w:sz="0" w:space="0" w:color="auto"/>
                    <w:left w:val="none" w:sz="0" w:space="0" w:color="auto"/>
                    <w:bottom w:val="none" w:sz="0" w:space="0" w:color="auto"/>
                    <w:right w:val="none" w:sz="0" w:space="0" w:color="auto"/>
                  </w:divBdr>
                  <w:divsChild>
                    <w:div w:id="2000040897">
                      <w:marLeft w:val="0"/>
                      <w:marRight w:val="0"/>
                      <w:marTop w:val="0"/>
                      <w:marBottom w:val="0"/>
                      <w:divBdr>
                        <w:top w:val="none" w:sz="0" w:space="0" w:color="auto"/>
                        <w:left w:val="none" w:sz="0" w:space="0" w:color="auto"/>
                        <w:bottom w:val="none" w:sz="0" w:space="0" w:color="auto"/>
                        <w:right w:val="none" w:sz="0" w:space="0" w:color="auto"/>
                      </w:divBdr>
                      <w:divsChild>
                        <w:div w:id="1117679226">
                          <w:marLeft w:val="0"/>
                          <w:marRight w:val="0"/>
                          <w:marTop w:val="0"/>
                          <w:marBottom w:val="0"/>
                          <w:divBdr>
                            <w:top w:val="none" w:sz="0" w:space="0" w:color="auto"/>
                            <w:left w:val="none" w:sz="0" w:space="0" w:color="auto"/>
                            <w:bottom w:val="none" w:sz="0" w:space="0" w:color="auto"/>
                            <w:right w:val="none" w:sz="0" w:space="0" w:color="auto"/>
                          </w:divBdr>
                        </w:div>
                      </w:divsChild>
                    </w:div>
                    <w:div w:id="20352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772119">
          <w:marLeft w:val="0"/>
          <w:marRight w:val="0"/>
          <w:marTop w:val="0"/>
          <w:marBottom w:val="0"/>
          <w:divBdr>
            <w:top w:val="none" w:sz="0" w:space="0" w:color="auto"/>
            <w:left w:val="none" w:sz="0" w:space="0" w:color="auto"/>
            <w:bottom w:val="none" w:sz="0" w:space="0" w:color="auto"/>
            <w:right w:val="none" w:sz="0" w:space="0" w:color="auto"/>
          </w:divBdr>
          <w:divsChild>
            <w:div w:id="2099936838">
              <w:marLeft w:val="0"/>
              <w:marRight w:val="0"/>
              <w:marTop w:val="0"/>
              <w:marBottom w:val="0"/>
              <w:divBdr>
                <w:top w:val="none" w:sz="0" w:space="0" w:color="auto"/>
                <w:left w:val="none" w:sz="0" w:space="0" w:color="auto"/>
                <w:bottom w:val="none" w:sz="0" w:space="0" w:color="auto"/>
                <w:right w:val="none" w:sz="0" w:space="0" w:color="auto"/>
              </w:divBdr>
              <w:divsChild>
                <w:div w:id="2496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acu.org/conferences/gene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2020-11-11T14:16:00Z</dcterms:created>
  <dcterms:modified xsi:type="dcterms:W3CDTF">2020-11-11T15:47:00Z</dcterms:modified>
</cp:coreProperties>
</file>